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1155"/>
        <w:gridCol w:w="1050"/>
        <w:gridCol w:w="1185"/>
        <w:gridCol w:w="1275"/>
        <w:gridCol w:w="615"/>
        <w:gridCol w:w="1680"/>
      </w:tblGrid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СОЦИАЛЬНО-ДЕМОГРАФИЧЕСКОЙ И СЕМЕЙНОЙ ПОЛИТИКИ САМАРСКОЙ ОБЛАСТИ</w:t>
            </w: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Содержательные предложения и рекомендации по мероприятиям по устранению выявленных недостатков и улучшению качества работы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br/>
              <w:t>для организаций социального обслуживания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br/>
              <w:t>Самарской области</w:t>
            </w: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4F1D13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 итогам </w:t>
            </w:r>
            <w:r w:rsidRPr="009C4F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независимой оценки качества условий оказания услуг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C4F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организациями социального обслуживания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 2023 году</w:t>
            </w: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Самара, 2023</w:t>
            </w:r>
          </w:p>
        </w:tc>
      </w:tr>
    </w:tbl>
    <w:p w:rsidR="00036740" w:rsidRDefault="00EA4D95">
      <w:r>
        <w:br w:type="page"/>
      </w:r>
    </w:p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1155"/>
        <w:gridCol w:w="1050"/>
        <w:gridCol w:w="1185"/>
        <w:gridCol w:w="1275"/>
        <w:gridCol w:w="615"/>
        <w:gridCol w:w="1680"/>
      </w:tblGrid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000000"/>
              <w:left w:val="none" w:sz="5" w:space="0" w:color="000000"/>
              <w:bottom w:val="single" w:sz="10" w:space="0" w:color="000000"/>
              <w:right w:val="none" w:sz="5" w:space="0" w:color="000000"/>
            </w:tcBorders>
            <w:shd w:val="clear" w:color="auto" w:fill="auto"/>
            <w:vAlign w:val="bottom"/>
          </w:tcPr>
          <w:p w:rsidR="00B9599B" w:rsidRDefault="00EA4D95">
            <w:pPr>
              <w:wordWrap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 xml:space="preserve">Автономная некоммерческая организация «Центр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социального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обслуживания населения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Сызранский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АНО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ЦСОН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Сызранский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»)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8850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ОТКРЫТОСТЬ И ДОСТУПНОСТЬ ИНФОРМАЦИИ ОБ ОРГАНИЗАЦИИ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Показатели, характеризующие открытость и доступность информации об организации, измерялись посредством: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оценки контента информации о деятельности организации, размещенной на информационных стендах в помещении и на территории организации;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оценки контента информации о деятельности организации, размещенной на официальном сайте организации;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определения наличия на официальном сайте организации информации о дистанционных способах обратной связи и взаимодействия с получателями услуг, а также оценки их функционирования (электронной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пр.), раздела «Часто задаваемые вопросы»,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определения доли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 и на официальном сайте организации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общего числа опрошенных получателей услуг).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1.1.  Соответствие информации о деятельности организации, размещенной на информационных стендах в помещении и на территории организации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 Методическим рекомендациями по проведению независимой оценки качества работы организаций, оказывающих социальные услуги в сфере социального обслуживания (Приказ Минтруда России №391а от 30 августа 2013 г. на информационных стендах организаций социального обслуживания необходимо разместить 18 документов.</w:t>
            </w:r>
            <w:proofErr w:type="gramEnd"/>
          </w:p>
        </w:tc>
      </w:tr>
      <w:tr w:rsidR="00036740">
        <w:trPr>
          <w:cantSplit/>
        </w:trPr>
        <w:tc>
          <w:tcPr>
            <w:tcW w:w="7500" w:type="dxa"/>
            <w:gridSpan w:val="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 момент проведения проверки на стенде представлено:</w:t>
            </w:r>
          </w:p>
        </w:tc>
        <w:tc>
          <w:tcPr>
            <w:tcW w:w="6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5" w:space="0" w:color="000000"/>
            </w:tcBorders>
            <w:shd w:val="clear" w:color="000000" w:fill="BFBFBF"/>
            <w:vAlign w:val="bottom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0" w:type="dxa"/>
            <w:tcBorders>
              <w:top w:val="single" w:sz="10" w:space="0" w:color="000000"/>
              <w:left w:val="none" w:sz="5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bottom"/>
          </w:tcPr>
          <w:p w:rsidR="00036740" w:rsidRDefault="00EA4D95" w:rsidP="004F1D13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документов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Необходимо обеспечить размещение на стенде следующих документов: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Сведения о наличии лицензий на осуществление деятельности, подлежащей лицензированию в соответствии с законодательством РФ</w:t>
            </w:r>
            <w:r w:rsidR="003A513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(или сведения о том, что деятельность не подлежит лицензированию)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Сведения о финансово-хозяйственной деятельности организации (Копия плана)</w:t>
            </w:r>
            <w:r w:rsidR="003A5137">
              <w:rPr>
                <w:rFonts w:ascii="Times New Roman" w:hAnsi="Times New Roman"/>
                <w:color w:val="000000"/>
                <w:sz w:val="24"/>
                <w:szCs w:val="24"/>
              </w:rPr>
              <w:t>/ бюджетная смета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1.2. Соответствие информации о деятельности организации, размещенной на официальном сайте организации в сети «Интернет»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соответствии с Постановление Правительства Российской Федерации от 24.11.2014 № 1239 «Об утверждении Правил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«Интернет» на официальном сайте организации необходимо разместить 22 документа.</w:t>
            </w:r>
          </w:p>
        </w:tc>
      </w:tr>
      <w:tr w:rsidR="00036740">
        <w:trPr>
          <w:cantSplit/>
        </w:trPr>
        <w:tc>
          <w:tcPr>
            <w:tcW w:w="7500" w:type="dxa"/>
            <w:gridSpan w:val="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lastRenderedPageBreak/>
              <w:t>На момент проведения проверки на сайте было размещено:</w:t>
            </w:r>
          </w:p>
        </w:tc>
        <w:tc>
          <w:tcPr>
            <w:tcW w:w="6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5" w:space="0" w:color="000000"/>
            </w:tcBorders>
            <w:shd w:val="clear" w:color="000000" w:fill="BFBFBF"/>
            <w:vAlign w:val="bottom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80" w:type="dxa"/>
            <w:tcBorders>
              <w:top w:val="single" w:sz="10" w:space="0" w:color="000000"/>
              <w:left w:val="none" w:sz="5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bottom"/>
          </w:tcPr>
          <w:p w:rsidR="00036740" w:rsidRDefault="00EA4D95" w:rsidP="004F1D13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документа)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Таким образом, на официальном сайте размещена вся требуемая информация.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spacing w:after="0"/>
              <w:jc w:val="center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1.3. Наличие на официальном сайте организации социального обслуживания информации о дистанционных способах обратной связи и взаимодействия с получателями услуг и их функционирование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ходе независимой оценки проверялось функционирование 5-ти дистанционных способов обратной связи: посредством телефона, электронной почты, электронных сервисов обратной связи на сайте (форма обратной связи, онлайн-консультант), раздела «часто задаваемые вопросы», выражения получателем услуг мнения о качестве условий оказания услуг (наличие на сайте анкеты для опроса граждан или гиперссылки на нее).</w:t>
            </w:r>
          </w:p>
        </w:tc>
      </w:tr>
      <w:tr w:rsidR="00036740">
        <w:trPr>
          <w:cantSplit/>
        </w:trPr>
        <w:tc>
          <w:tcPr>
            <w:tcW w:w="3990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момент оценки функционировало</w:t>
            </w:r>
          </w:p>
        </w:tc>
        <w:tc>
          <w:tcPr>
            <w:tcW w:w="105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bottom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75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4F1D13" w:rsidP="004F1D13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дистанционных способ</w:t>
            </w:r>
            <w:r w:rsidR="00EA4D95">
              <w:rPr>
                <w:rFonts w:ascii="Times New Roman" w:hAnsi="Times New Roman"/>
                <w:color w:val="000000"/>
                <w:sz w:val="24"/>
                <w:szCs w:val="24"/>
              </w:rPr>
              <w:t>ов обратной связи.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Таким образом, у организации есть, и эффективно функционируют все дистанционные способы взаимодействия с получателями услуг.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spacing w:after="0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</w:tcPr>
          <w:p w:rsidR="00036740" w:rsidRDefault="00036740">
            <w:pPr>
              <w:wordWrap w:val="0"/>
              <w:spacing w:after="0"/>
              <w:jc w:val="center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1.4. Удовлетворенность открытостью, полнотой и доступностью информации об организации социального обслуживания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ходе проведения опроса получателей услуг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зафиксирована</w:t>
            </w:r>
            <w:proofErr w:type="gramEnd"/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информации, размещенной на информационных стендах: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036740" w:rsidRDefault="00036740"/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1155"/>
        <w:gridCol w:w="1050"/>
        <w:gridCol w:w="1185"/>
        <w:gridCol w:w="1275"/>
        <w:gridCol w:w="615"/>
        <w:gridCol w:w="1680"/>
      </w:tblGrid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Рекомендации: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сохранения высокого уровня удовлетворенности открытостью, полнотой и доступностью информации и его постоянного повышения, необходимо соблюдать определенные требования. Информация должна быть актуальной, своевременной и содержательной.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Целесообразно проводить внутренний мониторинг удовлетворенности получателей услуг информационной политикой организации.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информации, размещенной на сайте организации: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99%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Рекомендации: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сохранения высокого уровня удовлетворенности открытостью, полнотой и доступностью информации, размещенной на сайте организации, и его повышения, необходимо осуществлять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своевременным обновлением контента сайта.  Необходимо проводить диагностику удобства навигации по сайту.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Целесообразно проводить внутренний мониторинг удовлетворенности получателей услуг информационной политикой организации.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</w:tbl>
    <w:p w:rsidR="00B9599B" w:rsidRDefault="00B9599B">
      <w:r>
        <w:br w:type="page"/>
      </w:r>
    </w:p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1155"/>
        <w:gridCol w:w="1050"/>
        <w:gridCol w:w="1185"/>
        <w:gridCol w:w="1275"/>
        <w:gridCol w:w="615"/>
        <w:gridCol w:w="1680"/>
      </w:tblGrid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2. КОМФОРТНОСТЬ УСЛОВИЙ ПРЕДОСТАВЛЕНИЯ УСЛУГ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2.1. Обеспечение в организации комфортных условий для предоставления услуг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 и качество обеспечения комфортных условий предоставления услуг определялся посредством экспертной оценки внутренних помещений и внешней территории организации. Оценивалось наличие следующих условий: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комфортная зона отдыха (ожидания), оборудованной соответствующей мебелью;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понятная навигация внутри организации;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доступная питьевая вода;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доступные санитарно-гигиенические помещения;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санитарное состояние помещений;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транспортная доступность (возможность доехать до организации (учреждения) на общественном транспорте, наличие парковки);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доступность записи на получение услуги (по телефону, на официальном сайте организации (учреждения), посредством Единого портала государственных и муниципальных услуг, при личном посещении в регистратуре или у специалиста организации (учреждения) и пр.).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</w:tr>
      <w:tr w:rsidR="00036740">
        <w:trPr>
          <w:cantSplit/>
        </w:trPr>
        <w:tc>
          <w:tcPr>
            <w:tcW w:w="7500" w:type="dxa"/>
            <w:gridSpan w:val="7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момент проведения независимой оценки в организации обеспечено</w:t>
            </w:r>
          </w:p>
        </w:tc>
        <w:tc>
          <w:tcPr>
            <w:tcW w:w="6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bottom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 w:rsidP="004F1D13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 w:rsidR="004F1D13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  <w:jc w:val="center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Таким образом, в организации обеспечены все требуемые условия комфортности для получателей услуг.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2.2. Время ожидания предоставления услуги: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  «Время ожидания предоставления услуги» рассчитывается на основе значения параметра «Своевременность предоставления услуги (в соответствии с записью на прием к специалисту организации социальной сферы (консультацию), датой госпитализации (диагностического исследования), графиком прихода социального работника на дом и пр.)».</w:t>
            </w: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Доля получателей услуг, удовлетворенных своевременностью предоставления услуги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Рекомендации: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сохранения высокого уровня удовлетворенности своевременностью предоставления услуги целесообразно доводить до сведения получателей информацию о регламенте предоставления услуги, сроках ее предоставления, а также причинах, по которым услуга не может быть предоставлена в срок (при наличии таких причин).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2.3. Удовлетворенность комфортностью предоставления услуг</w:t>
            </w: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комфортностью предоставления услуг: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7D0916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</w:t>
            </w:r>
            <w:r w:rsidR="00EA4D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4F1D13" w:rsidRDefault="004F1D13">
      <w:r>
        <w:br w:type="page"/>
      </w:r>
    </w:p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1155"/>
        <w:gridCol w:w="1050"/>
        <w:gridCol w:w="1185"/>
        <w:gridCol w:w="1275"/>
        <w:gridCol w:w="615"/>
        <w:gridCol w:w="1680"/>
      </w:tblGrid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Рекомендации: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сохранения высокого уровня удовлетворенности комфортностью условий оказания услуг и для его повышения целесообразно на регулярной основе осуществлять благоустройство и поддержание в надлежащем состоянии здания и помещений (в том числе, санитарно-гигиенических зон, в которых необходимо размещать автоматические сушилки или бумажные полотенца, мыло, туалетную бумагу), территории, прилегающей к зданию организации, следить за состоянием мебели, доступностью питьевой воды и понятностью навигации внутри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помещений организации.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Целесообразно проводить внутренний мониторинг удовлетворенности получателей услуг комфортностью условий оказания услуг.</w:t>
            </w: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ДОСТУПНОСТЬ УСЛУГ ДЛЯ ИНВАЛИДОВ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Важным элементом комфортности условий оказания услуг образовательными организациями выступает обеспечение доступной среды для людей с ограниченными возможностями, а также условий доступности, позволяющих инвалидам получать услуги наравне с другими.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3.1. 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рамках независимой оценки качества условий оказания услуг оценивались следующие элементы доступной среды: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оборудование входных групп пандусами (подъемными платформами)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наличие выделенных стоянок для автотранспортных средств инвалидов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наличие адаптированных лифтов, поручней, наличие расширенных дверных проемов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наличие сменных кресел-колясок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наличие специально оборудованных для инвалидов санитарно-гигиенических помещений.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</w:tr>
      <w:tr w:rsidR="00036740">
        <w:trPr>
          <w:cantSplit/>
        </w:trPr>
        <w:tc>
          <w:tcPr>
            <w:tcW w:w="6225" w:type="dxa"/>
            <w:gridSpan w:val="6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момент оценки помещения организации оборудованы</w:t>
            </w:r>
          </w:p>
        </w:tc>
        <w:tc>
          <w:tcPr>
            <w:tcW w:w="127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bottom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95" w:type="dxa"/>
            <w:gridSpan w:val="2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7D0916" w:rsidP="007D0916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элемента</w:t>
            </w:r>
            <w:r w:rsidR="00EA4D95">
              <w:rPr>
                <w:rFonts w:ascii="Times New Roman" w:hAnsi="Times New Roman"/>
                <w:color w:val="000000"/>
                <w:sz w:val="24"/>
                <w:szCs w:val="24"/>
              </w:rPr>
              <w:t>ми.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000000" w:fill="FFFFFF"/>
            <w:vAlign w:val="bottom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Помещения и близлежащая территория образовательной организации оборудованы требуемыми элементами доступной  среды для маломобильных граждан.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3.2. Обеспечение в организации социального обслуживания условий доступности, позволяющих инвалидам получать услуги наравне с другими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Наряду с оценкой доступности помещений и прилегающих территорий организации производилась оценка условий доступности, позволяющих инвалидам получать услуги наравне с другими.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Учитывались следующие условия доступности услуг: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дублирование для инвалидов по слуху и зрению звуковой и зрительной информации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●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наличие альтернативной версии официального сайта организации для инвалидов по зрению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помощь, оказываемая работниками, прошедшими обучение по сопровождению инвалидов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помещении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● возможность оказания социальных услуг в дистанционном режиме или на дому.</w:t>
            </w:r>
          </w:p>
        </w:tc>
      </w:tr>
      <w:tr w:rsidR="00036740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5040" w:type="dxa"/>
            <w:gridSpan w:val="5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момент оценки в организации обеспечено</w:t>
            </w:r>
          </w:p>
        </w:tc>
        <w:tc>
          <w:tcPr>
            <w:tcW w:w="118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bottom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70" w:type="dxa"/>
            <w:gridSpan w:val="3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4F1D13">
            <w:pPr>
              <w:wordWrap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условий</w:t>
            </w:r>
            <w:r w:rsidR="00EA4D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доступности.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  <w:jc w:val="center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обеспечения условий доступности, позволяющих инвалидам получать услуги наравне с другими, необходимо обеспечить следующие условия: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3.3. Удовлетворенность доступностью услуг для инвалидов</w:t>
            </w: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доступностью услуг для инвалидов: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84%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Рекомендации: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повышения и сохранения высокого уровня удовлетворенности доступностью услуг для инвалидов целесообразно на регулярной основе осуществлять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состоянием элементов доступной среды и обеспечением условий, позволяющих инвалидам получать услуги наравне с другими.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Целесообразно проводить внутренний мониторинг удовлетворенности получателей услуг доступностью услуг для инвалидов.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 ДОБРОЖЕЛАТЕЛЬНОСТЬ, ВЕЖЛИВОСТЬ РАБОТНИКОВ ОРГАНИЗАЦИИ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Данный показатель формируется за счет получения субъективных оценок получателей услуг, собираемых в ходе опроса.</w:t>
            </w: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социального обслуживания, обеспечивающих первичный контакт и информирование получателя услуги при непосредственном обращении в организацию: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96%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социального обслуживания, обеспечивающих непосредственное оказание услуги при обращении в организацию (учреждение):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99%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доброжелательностью, вежливостью работников организации социального обслуживания при использовании дистанционных форм взаимодействия (по телефону, по электронной почте, с помощью электронных сервисов, получение консультации по оказываемым услугам и пр.):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99%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</w:tbl>
    <w:p w:rsidR="004F1D13" w:rsidRDefault="004F1D13">
      <w:r>
        <w:br w:type="page"/>
      </w:r>
    </w:p>
    <w:tbl>
      <w:tblPr>
        <w:tblW w:w="97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45"/>
        <w:gridCol w:w="945"/>
        <w:gridCol w:w="1155"/>
        <w:gridCol w:w="1050"/>
        <w:gridCol w:w="1185"/>
        <w:gridCol w:w="1275"/>
        <w:gridCol w:w="615"/>
        <w:gridCol w:w="1680"/>
      </w:tblGrid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Рекомендации: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 сохранения высокого уровня удовлетворенности доброжелательностью и вежливостью сотрудников организации и его повышения важно выстраивать с получателями грамотную коммуникацию. Основным принципом взаимоотношений между получателем услуг и представителем организации должен стать принцип уважения к личности. Культура общения  проявляется в умении выслушать, в проявлении отзывчивости и сопереживания.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Целесообразно проводить внутренний мониторинг удовлетворенности получателей услуг доброжелательностью и вежливостью сотрудников организации.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wordWrap w:val="0"/>
              <w:spacing w:after="0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 УДОВЛЕТВОРЕННОСТЬ УСЛОВИЯМИ ОКАЗАНИЯ УСЛУГ</w:t>
            </w: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которые готовы рекомендовать организацию социального обслуживания родственникам и знакомым (могли бы ее рекомендовать, если бы была возможность выбора организации)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98%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организационными условиями оказания услуг (графиком и режимом работы) организации (учреждения)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99%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036740">
            <w:pPr>
              <w:wordWrap w:val="0"/>
              <w:spacing w:after="0"/>
            </w:pPr>
          </w:p>
        </w:tc>
      </w:tr>
      <w:tr w:rsidR="00036740">
        <w:trPr>
          <w:cantSplit/>
        </w:trPr>
        <w:tc>
          <w:tcPr>
            <w:tcW w:w="8115" w:type="dxa"/>
            <w:gridSpan w:val="8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10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Доля получателей услуг, удовлетворенных в целом условиями оказания услуг в организации социального обслуживания</w:t>
            </w:r>
          </w:p>
        </w:tc>
        <w:tc>
          <w:tcPr>
            <w:tcW w:w="16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000000" w:fill="BFBFBF"/>
            <w:vAlign w:val="center"/>
          </w:tcPr>
          <w:p w:rsidR="00036740" w:rsidRDefault="00EA4D95">
            <w:pPr>
              <w:wordWrap w:val="0"/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98%</w:t>
            </w:r>
          </w:p>
        </w:tc>
      </w:tr>
      <w:tr w:rsidR="00036740">
        <w:trPr>
          <w:cantSplit/>
        </w:trPr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94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5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05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18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27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615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  <w:tc>
          <w:tcPr>
            <w:tcW w:w="168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tcMar>
              <w:left w:w="0" w:type="dxa"/>
            </w:tcMar>
            <w:vAlign w:val="bottom"/>
          </w:tcPr>
          <w:p w:rsidR="00036740" w:rsidRDefault="00036740">
            <w:pPr>
              <w:spacing w:after="0"/>
            </w:pP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036740" w:rsidRDefault="00EA4D95">
            <w:pPr>
              <w:wordWrap w:val="0"/>
              <w:spacing w:after="0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Рекомендации:</w:t>
            </w:r>
          </w:p>
        </w:tc>
      </w:tr>
      <w:tr w:rsidR="00036740">
        <w:trPr>
          <w:cantSplit/>
        </w:trPr>
        <w:tc>
          <w:tcPr>
            <w:tcW w:w="9795" w:type="dxa"/>
            <w:gridSpan w:val="9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left w:w="0" w:type="dxa"/>
            </w:tcMar>
          </w:tcPr>
          <w:p w:rsidR="00036740" w:rsidRDefault="00EA4D9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 удовлетворенности условиями оказания услуг зависит от совокупности факторов, в том числе рассматриваемых в рамках независимой оценки качества.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Важным направлением повышения уровня удовлетворенности выступает диалог с получателями услуг, в ходе которого можно определить причины недовольства, выявить недостатки в работе организации, найти оптимальные варианты решения проблем.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Целесообразно проводить внутренний мониторинг удовлетворенности получателей услуг разными аспектами условий оказания услуг, тренинги с сотрудниками организации, повышающие коммуникативные компетенции и снижающие риск возникновения синдрома профессионального выгорания.</w:t>
            </w:r>
          </w:p>
        </w:tc>
      </w:tr>
    </w:tbl>
    <w:p w:rsidR="00EA4D95" w:rsidRDefault="00EA4D95"/>
    <w:sectPr w:rsidR="00EA4D95">
      <w:footerReference w:type="default" r:id="rId7"/>
      <w:footerReference w:type="first" r:id="rId8"/>
      <w:pgSz w:w="11907" w:h="16839"/>
      <w:pgMar w:top="567" w:right="567" w:bottom="56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A25" w:rsidRDefault="00055A25">
      <w:pPr>
        <w:spacing w:after="0" w:line="240" w:lineRule="auto"/>
      </w:pPr>
      <w:r>
        <w:separator/>
      </w:r>
    </w:p>
  </w:endnote>
  <w:endnote w:type="continuationSeparator" w:id="0">
    <w:p w:rsidR="00055A25" w:rsidRDefault="0005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014682"/>
      <w:docPartObj>
        <w:docPartGallery w:val="Page Numbers (Top of Page)"/>
      </w:docPartObj>
    </w:sdtPr>
    <w:sdtEndPr/>
    <w:sdtContent>
      <w:p w:rsidR="00036740" w:rsidRDefault="00EA4D95">
        <w:r>
          <w:ptab w:relativeTo="margin" w:alignment="center" w:leader="none"/>
        </w:r>
        <w:r>
          <w:rPr>
            <w:rFonts w:ascii="Arial" w:hAnsi="Arial"/>
            <w:color w:val="000000"/>
            <w:sz w:val="16"/>
          </w:rPr>
          <w:fldChar w:fldCharType="begin"/>
        </w:r>
        <w:r>
          <w:rPr>
            <w:rFonts w:ascii="Arial" w:hAnsi="Arial"/>
            <w:sz w:val="16"/>
          </w:rPr>
          <w:instrText>PAGE   \* MERGEFORMAT</w:instrText>
        </w:r>
        <w:r>
          <w:rPr>
            <w:rFonts w:ascii="Arial" w:hAnsi="Arial"/>
            <w:color w:val="000000"/>
            <w:sz w:val="16"/>
          </w:rPr>
          <w:fldChar w:fldCharType="separate"/>
        </w:r>
        <w:r w:rsidR="004F1D13">
          <w:rPr>
            <w:rFonts w:ascii="Arial" w:hAnsi="Arial"/>
            <w:noProof/>
            <w:sz w:val="16"/>
          </w:rPr>
          <w:t>7</w:t>
        </w:r>
        <w:r>
          <w:rPr>
            <w:rFonts w:ascii="Arial" w:hAnsi="Arial"/>
            <w:sz w:val="16"/>
          </w:rPr>
          <w:fldChar w:fldCharType="end"/>
        </w:r>
      </w:p>
    </w:sdtContent>
  </w:sdt>
  <w:p w:rsidR="00036740" w:rsidRDefault="000367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4527013"/>
      <w:docPartObj>
        <w:docPartGallery w:val="Page Numbers (Top of Page)"/>
      </w:docPartObj>
    </w:sdtPr>
    <w:sdtEndPr/>
    <w:sdtContent>
      <w:p w:rsidR="00036740" w:rsidRDefault="00055A25"/>
    </w:sdtContent>
  </w:sdt>
  <w:p w:rsidR="00036740" w:rsidRDefault="000367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A25" w:rsidRDefault="00055A25">
      <w:pPr>
        <w:spacing w:after="0" w:line="240" w:lineRule="auto"/>
      </w:pPr>
      <w:r>
        <w:separator/>
      </w:r>
    </w:p>
  </w:footnote>
  <w:footnote w:type="continuationSeparator" w:id="0">
    <w:p w:rsidR="00055A25" w:rsidRDefault="00055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36740"/>
    <w:rsid w:val="00036740"/>
    <w:rsid w:val="00055A25"/>
    <w:rsid w:val="001B0634"/>
    <w:rsid w:val="003A5137"/>
    <w:rsid w:val="004F1D13"/>
    <w:rsid w:val="006F1443"/>
    <w:rsid w:val="007D0916"/>
    <w:rsid w:val="00B9599B"/>
    <w:rsid w:val="00EA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2096</Words>
  <Characters>11952</Characters>
  <Application>Microsoft Office Word</Application>
  <DocSecurity>0</DocSecurity>
  <Lines>99</Lines>
  <Paragraphs>28</Paragraphs>
  <ScaleCrop>false</ScaleCrop>
  <Company/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2023-08-29T08:40:00Z</dcterms:created>
  <dcterms:modified xsi:type="dcterms:W3CDTF">2023-10-12T20:00:00Z</dcterms:modified>
</cp:coreProperties>
</file>